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Network Is the Data Center</w:t>
      </w:r>
    </w:p>
    <w:p>
      <w:r>
        <w:rPr>
          <w:sz w:val="20"/>
        </w:rPr>
        <w:t>OMNIMESH  |  A distributed infrastructure opportunity for cable operators</w:t>
      </w:r>
    </w:p>
    <w:p>
      <w:r>
        <w:t>Cable operators already reach millions of powered, connected locations. OmniMesh proposes turning part of that footprint into a shared storage and content-delivery business, coordinating household assets while creating additional network capacity for growth.</w:t>
      </w:r>
    </w:p>
    <w:p>
      <w:pPr>
        <w:pStyle w:val="Heading2"/>
      </w:pPr>
      <w:r>
        <w:t>The investment and revenue scenario</w:t>
      </w:r>
    </w:p>
    <w:p>
      <w:r>
        <w:t>Assume 2.5 million devices at $300 delivered: $750 million of initial capital. Across a 25-million-user footprint, that is $30 per user once—not a customer charge. Households provide location and power; the operator still funds lifecycle management, security, support, and participant compensation.</w:t>
      </w:r>
    </w:p>
    <w:tbl>
      <w:tblPr>
        <w:tblStyle w:val="LightShading-Accent1"/>
        <w:tblW w:type="auto" w:w="0"/>
        <w:tblLook w:firstColumn="1" w:firstRow="1" w:lastColumn="0" w:lastRow="0" w:noHBand="0" w:noVBand="1" w:val="04A0"/>
      </w:tblPr>
      <w:tblGrid>
        <w:gridCol w:w="5112"/>
        <w:gridCol w:w="5112"/>
      </w:tblGrid>
      <w:tr>
        <w:tc>
          <w:tcPr>
            <w:tcW w:type="dxa" w:w="5112"/>
          </w:tcPr>
          <w:p>
            <w:r>
              <w:t>Illustrative calculation</w:t>
            </w:r>
          </w:p>
        </w:tc>
        <w:tc>
          <w:tcPr>
            <w:tcW w:type="dxa" w:w="5112"/>
          </w:tcPr>
          <w:p>
            <w:r>
              <w:t>Annual revenue</w:t>
            </w:r>
          </w:p>
        </w:tc>
      </w:tr>
      <w:tr>
        <w:tc>
          <w:tcPr>
            <w:tcW w:type="dxa" w:w="5112"/>
          </w:tcPr>
          <w:p>
            <w:r>
              <w:t>Storage: 7.5M usable TB × 50% paid utilization × $6/TB/month × 12</w:t>
            </w:r>
          </w:p>
        </w:tc>
        <w:tc>
          <w:tcPr>
            <w:tcW w:type="dxa" w:w="5112"/>
          </w:tcPr>
          <w:p>
            <w:r>
              <w:t>$270.00M</w:t>
            </w:r>
          </w:p>
        </w:tc>
      </w:tr>
      <w:tr>
        <w:tc>
          <w:tcPr>
            <w:tcW w:type="dxa" w:w="5112"/>
          </w:tcPr>
          <w:p>
            <w:r>
              <w:t>Delivery: 2.5M devices × 972 GB/month × $0.002/GB × 12</w:t>
            </w:r>
          </w:p>
        </w:tc>
        <w:tc>
          <w:tcPr>
            <w:tcW w:type="dxa" w:w="5112"/>
          </w:tcPr>
          <w:p>
            <w:r>
              <w:t>$58.32M</w:t>
            </w:r>
          </w:p>
        </w:tc>
      </w:tr>
      <w:tr>
        <w:tc>
          <w:tcPr>
            <w:tcW w:type="dxa" w:w="5112"/>
          </w:tcPr>
          <w:p>
            <w:r>
              <w:t>Combined gross revenue before operating costs</w:t>
            </w:r>
          </w:p>
        </w:tc>
        <w:tc>
          <w:tcPr>
            <w:tcW w:type="dxa" w:w="5112"/>
          </w:tcPr>
          <w:p>
            <w:r>
              <w:t>$328.32M ≈ $330M</w:t>
            </w:r>
          </w:p>
        </w:tc>
      </w:tr>
    </w:tbl>
    <w:p>
      <w:r>
        <w:t>Storage assumes 4 TB per device and 75% usable capacity after redundancy and reserves. Delivery assumes 3 Mbps of billable traffic per device averaged over each 30-day month: 3 ÷ 8 × 2,592,000 = 972 GB. Decimal units apply. Internal replicas are not automatically billable; storage and delivery must be separately contracted.</w:t>
      </w:r>
    </w:p>
    <w:p>
      <w:pPr>
        <w:pStyle w:val="Heading2"/>
      </w:pPr>
      <w:r>
        <w:t>What determines the return</w:t>
      </w:r>
    </w:p>
    <w:p>
      <w:r>
        <w:t>At all-in operating allowances of $4, $7, or $10 per device per month, annual net benefit would be $208.32M, $118.32M, or $28.32M, respectively. Simple capital payback would be 3.6, 6.3, or 26.5 years, before financing and taxes. These are sensitivity cases—not measured costs—and assume immediate modeled utilization. A sales ramp extends payback.</w:t>
      </w:r>
    </w:p>
    <w:p>
      <w:r>
        <w:t>Transport savings and growth capacity are additional, unquantified opportunities. Count only avoidable expense or annualized upgrade deferrals, net of loading, repair, and other network costs. Do not count capacity retained for growth again as a cash saving. Netflix already provides qualifying ISPs free cache appliances; OmniMesh must prove incremental value.</w:t>
      </w:r>
    </w:p>
    <w:p>
      <w:pPr>
        <w:pStyle w:val="Heading2"/>
      </w:pPr>
      <w:r>
        <w:t>The decision</w:t>
      </w:r>
    </w:p>
    <w:p>
      <w:r>
        <w:t>Fund a measured pilot tied to paid demand, peak-hour delivery without subscriber degradation, validated usable capacity, all-in cost per delivered terabyte, and incremental transport relief. The opportunity is a new infrastructure business built on the existing customer footprint; the pilot must establish its commercial advantage.</w:t>
      </w:r>
    </w:p>
    <w:p>
      <w:pPr>
        <w:spacing w:after="60"/>
      </w:pPr>
      <w:r>
        <w:rPr>
          <w:sz w:val="16"/>
        </w:rPr>
        <w:t xml:space="preserve">Benchmarks checked September 15, 2026: </w:t>
      </w:r>
      <w:hyperlink r:id="rId9">
        <w:r>
          <w:rPr>
            <w:color w:val="126756"/>
          </w:rPr>
          <w:t>Backblaze B2: $6.95/TB/month</w:t>
        </w:r>
      </w:hyperlink>
      <w:r>
        <w:rPr>
          <w:sz w:val="16"/>
        </w:rPr>
        <w:t xml:space="preserve"> • </w:t>
      </w:r>
      <w:hyperlink r:id="rId10">
        <w:r>
          <w:rPr>
            <w:color w:val="126756"/>
          </w:rPr>
          <w:t>Cloudflare R2: $0.015/GB-month</w:t>
        </w:r>
      </w:hyperlink>
      <w:r>
        <w:rPr>
          <w:sz w:val="16"/>
        </w:rPr>
        <w:t xml:space="preserve"> • </w:t>
      </w:r>
      <w:hyperlink r:id="rId11">
        <w:r>
          <w:rPr>
            <w:color w:val="126756"/>
          </w:rPr>
          <w:t>Bunny: $0.002/GB at 1–2 PB</w:t>
        </w:r>
      </w:hyperlink>
      <w:r>
        <w:rPr>
          <w:sz w:val="16"/>
        </w:rPr>
        <w:t xml:space="preserve"> • </w:t>
      </w:r>
      <w:hyperlink r:id="rId12">
        <w:r>
          <w:rPr>
            <w:color w:val="126756"/>
          </w:rPr>
          <w:t>Netflix appliance terms</w:t>
        </w:r>
      </w:hyperlink>
      <w:r>
        <w:rPr>
          <w:sz w:val="16"/>
        </w:rPr>
        <w:t xml:space="preserve"> • </w:t>
      </w:r>
    </w:p>
    <w:p>
      <w:r>
        <w:rPr>
          <w:i/>
          <w:sz w:val="16"/>
        </w:rPr>
        <w:t>All figures are illustrative. Published prices do not establish exabyte-scale contract terms, equivalent service guarantees, utilization, or customer commitments. The model’s $6/TB and $0.002/GB rates are assumptions, not offers.</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45" w:lineRule="auto"/>
    </w:pPr>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02B3A"/>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02B3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Calibri" w:hAnsi="Calibri"/>
      <w:color w:val="102B3A"/>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backblaze.com/cloud-storage/pricing" TargetMode="External"/><Relationship Id="rId10" Type="http://schemas.openxmlformats.org/officeDocument/2006/relationships/hyperlink" Target="https://developers.cloudflare.com/r2/pricing/" TargetMode="External"/><Relationship Id="rId11" Type="http://schemas.openxmlformats.org/officeDocument/2006/relationships/hyperlink" Target="https://bunny.net/pricing/cdn/" TargetMode="External"/><Relationship Id="rId12" Type="http://schemas.openxmlformats.org/officeDocument/2006/relationships/hyperlink" Target="https://openconnect.zendesk.com/hc/en-us/articles/360036163652-How-much-does-the-appliance-cost-my-organiz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